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1709D" w14:textId="6029B448" w:rsidR="00713480" w:rsidRPr="00853EEE" w:rsidRDefault="00713480" w:rsidP="00E713FA">
      <w:pPr>
        <w:shd w:val="clear" w:color="auto" w:fill="FFFFFF"/>
        <w:spacing w:line="225" w:lineRule="atLeast"/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</w:pPr>
      <w:r w:rsidRP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br/>
      </w:r>
      <w:r w:rsidR="00280E19" w:rsidRPr="00853EEE">
        <w:rPr>
          <w:rFonts w:asciiTheme="majorHAnsi" w:eastAsia="Times New Roman" w:hAnsiTheme="majorHAnsi" w:cs="Times New Roman"/>
          <w:noProof/>
          <w:color w:val="004274"/>
        </w:rPr>
        <w:drawing>
          <wp:anchor distT="0" distB="0" distL="114300" distR="114300" simplePos="0" relativeHeight="251658240" behindDoc="0" locked="0" layoutInCell="1" allowOverlap="1" wp14:anchorId="5DCE7491" wp14:editId="0F9CF499">
            <wp:simplePos x="0" y="0"/>
            <wp:positionH relativeFrom="column">
              <wp:posOffset>2255520</wp:posOffset>
            </wp:positionH>
            <wp:positionV relativeFrom="paragraph">
              <wp:posOffset>-189230</wp:posOffset>
            </wp:positionV>
            <wp:extent cx="2141855" cy="169799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elilla_Golf_no_t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5A" w:rsidRP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t xml:space="preserve">LOKALA REGLER </w:t>
      </w:r>
      <w:r w:rsidR="00E713FA" w:rsidRP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t xml:space="preserve">FÖR </w:t>
      </w:r>
      <w:r w:rsidR="00CF444A" w:rsidRP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t>TOMELILLA G</w:t>
      </w:r>
      <w:r w:rsidR="007C33B2" w:rsidRP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t>OLFKLUBB</w:t>
      </w:r>
      <w:r w:rsidR="00E713FA" w:rsidRP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t xml:space="preserve"> 202</w:t>
      </w:r>
      <w:r w:rsidR="00853EEE">
        <w:rPr>
          <w:rFonts w:asciiTheme="majorHAnsi" w:eastAsia="Times New Roman" w:hAnsiTheme="majorHAnsi" w:cs="Times New Roman"/>
          <w:b/>
          <w:bCs/>
          <w:color w:val="004274"/>
          <w:sz w:val="36"/>
          <w:szCs w:val="36"/>
        </w:rPr>
        <w:t>4</w:t>
      </w:r>
    </w:p>
    <w:p w14:paraId="577D5B2B" w14:textId="0FEEDB98" w:rsidR="00E713FA" w:rsidRPr="00853EEE" w:rsidRDefault="00E713FA" w:rsidP="00494874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4274"/>
        </w:rPr>
      </w:pPr>
      <w:r w:rsidRPr="00853EEE">
        <w:rPr>
          <w:rFonts w:asciiTheme="majorHAnsi" w:eastAsia="Times New Roman" w:hAnsiTheme="majorHAnsi" w:cs="Times New Roman"/>
          <w:b/>
          <w:bCs/>
          <w:color w:val="004274"/>
          <w:sz w:val="12"/>
          <w:szCs w:val="12"/>
        </w:rPr>
        <w:br/>
      </w:r>
      <w:r w:rsidR="00E47D05" w:rsidRPr="00853EEE">
        <w:rPr>
          <w:rFonts w:asciiTheme="majorHAnsi" w:eastAsia="Times New Roman" w:hAnsiTheme="majorHAnsi" w:cs="Times New Roman"/>
          <w:color w:val="004274"/>
        </w:rPr>
        <w:t>Golf spelas enligt Regler för Golfspel. Spel- och tävlingshandboken kapitel 1</w:t>
      </w:r>
      <w:r w:rsidR="005B2F21" w:rsidRPr="00853EEE">
        <w:rPr>
          <w:rFonts w:asciiTheme="majorHAnsi" w:eastAsia="Times New Roman" w:hAnsiTheme="majorHAnsi" w:cs="Times New Roman"/>
          <w:color w:val="004274"/>
        </w:rPr>
        <w:t>, handicapreglerna och amatörreglerna samt följande</w:t>
      </w:r>
      <w:r w:rsidR="003466C5" w:rsidRPr="00853EEE">
        <w:rPr>
          <w:rFonts w:asciiTheme="majorHAnsi" w:eastAsia="Times New Roman" w:hAnsiTheme="majorHAnsi" w:cs="Times New Roman"/>
          <w:color w:val="004274"/>
        </w:rPr>
        <w:t xml:space="preserve"> Lokala regler och Tävlingsvillkor:</w:t>
      </w:r>
    </w:p>
    <w:p w14:paraId="148E7358" w14:textId="6D0052AA" w:rsidR="00EA37FF" w:rsidRPr="00853EEE" w:rsidRDefault="00E713FA" w:rsidP="00EA37FF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4274"/>
        </w:rPr>
      </w:pPr>
      <w:r w:rsidRPr="00853EEE">
        <w:rPr>
          <w:rFonts w:asciiTheme="majorHAnsi" w:eastAsia="Times New Roman" w:hAnsiTheme="majorHAnsi" w:cs="Times New Roman"/>
          <w:b/>
          <w:color w:val="004274"/>
        </w:rPr>
        <w:t>Lokala regler och t</w:t>
      </w:r>
      <w:r w:rsidR="007C085A" w:rsidRPr="00853EEE">
        <w:rPr>
          <w:rFonts w:asciiTheme="majorHAnsi" w:eastAsia="Times New Roman" w:hAnsiTheme="majorHAnsi" w:cs="Times New Roman"/>
          <w:b/>
          <w:color w:val="004274"/>
        </w:rPr>
        <w:t>illfälliga lokala regler</w:t>
      </w:r>
      <w:r w:rsidR="007C085A" w:rsidRPr="00853EEE">
        <w:rPr>
          <w:rFonts w:asciiTheme="majorHAnsi" w:eastAsia="Times New Roman" w:hAnsiTheme="majorHAnsi" w:cs="Times New Roman"/>
          <w:color w:val="004274"/>
        </w:rPr>
        <w:t xml:space="preserve"> finns anslagna på klubbens officiella anslagstavla</w:t>
      </w:r>
      <w:r w:rsidR="00EA37FF" w:rsidRPr="00853EEE">
        <w:rPr>
          <w:rFonts w:asciiTheme="majorHAnsi" w:eastAsia="Times New Roman" w:hAnsiTheme="majorHAnsi" w:cs="Times New Roman"/>
          <w:color w:val="004274"/>
        </w:rPr>
        <w:t xml:space="preserve"> vid entrédörrarna på övre och nedre p</w:t>
      </w:r>
      <w:r w:rsidR="008F53DF" w:rsidRPr="00853EEE">
        <w:rPr>
          <w:rFonts w:asciiTheme="majorHAnsi" w:eastAsia="Times New Roman" w:hAnsiTheme="majorHAnsi" w:cs="Times New Roman"/>
          <w:color w:val="004274"/>
        </w:rPr>
        <w:t>lan i klubbhuset</w:t>
      </w:r>
      <w:r w:rsidR="00EA37FF" w:rsidRPr="00853EEE">
        <w:rPr>
          <w:rFonts w:asciiTheme="majorHAnsi" w:eastAsia="Times New Roman" w:hAnsiTheme="majorHAnsi" w:cs="Times New Roman"/>
          <w:color w:val="004274"/>
        </w:rPr>
        <w:t>.</w:t>
      </w:r>
      <w:r w:rsidR="009074A4" w:rsidRPr="00853EEE">
        <w:rPr>
          <w:rFonts w:asciiTheme="majorHAnsi" w:eastAsia="Times New Roman" w:hAnsiTheme="majorHAnsi" w:cs="Times New Roman"/>
          <w:color w:val="004274"/>
        </w:rPr>
        <w:t xml:space="preserve"> </w:t>
      </w:r>
      <w:r w:rsidR="00EA37FF" w:rsidRPr="00853EEE">
        <w:rPr>
          <w:rFonts w:asciiTheme="majorHAnsi" w:eastAsia="Times New Roman" w:hAnsiTheme="majorHAnsi" w:cs="Times New Roman"/>
          <w:color w:val="004274"/>
        </w:rPr>
        <w:t xml:space="preserve">Därutöver gäller följande lokala regler för allt spel på klubben såvida inget annat anges i samband med en enskild tävling. </w:t>
      </w:r>
      <w:r w:rsidRPr="00853EEE">
        <w:rPr>
          <w:rFonts w:asciiTheme="majorHAnsi" w:eastAsia="Times New Roman" w:hAnsiTheme="majorHAnsi" w:cs="Times New Roman"/>
          <w:color w:val="004274"/>
        </w:rPr>
        <w:t xml:space="preserve">För den fullständiga svenska texten till en lokal regel där hänvisning är till Modell för lokal regel, se </w:t>
      </w:r>
      <w:r w:rsidR="00135D70" w:rsidRPr="006869C1">
        <w:rPr>
          <w:rFonts w:asciiTheme="majorHAnsi" w:eastAsia="Times New Roman" w:hAnsiTheme="majorHAnsi" w:cs="Times New Roman"/>
          <w:color w:val="004274"/>
        </w:rPr>
        <w:t xml:space="preserve">R&amp;A </w:t>
      </w:r>
      <w:proofErr w:type="spellStart"/>
      <w:r w:rsidR="00135D70" w:rsidRPr="006869C1">
        <w:rPr>
          <w:rFonts w:asciiTheme="majorHAnsi" w:eastAsia="Times New Roman" w:hAnsiTheme="majorHAnsi" w:cs="Times New Roman"/>
          <w:color w:val="004274"/>
        </w:rPr>
        <w:t>app</w:t>
      </w:r>
      <w:proofErr w:type="spellEnd"/>
      <w:r w:rsidR="00135D70" w:rsidRPr="006869C1">
        <w:rPr>
          <w:rFonts w:asciiTheme="majorHAnsi" w:eastAsia="Times New Roman" w:hAnsiTheme="majorHAnsi" w:cs="Times New Roman"/>
          <w:color w:val="004274"/>
        </w:rPr>
        <w:t xml:space="preserve"> Regler för golfspel, </w:t>
      </w:r>
      <w:proofErr w:type="spellStart"/>
      <w:r w:rsidR="00135D70" w:rsidRPr="006869C1">
        <w:rPr>
          <w:rFonts w:asciiTheme="majorHAnsi" w:eastAsia="Times New Roman" w:hAnsiTheme="majorHAnsi" w:cs="Times New Roman"/>
          <w:color w:val="004274"/>
        </w:rPr>
        <w:t>Committee</w:t>
      </w:r>
      <w:proofErr w:type="spellEnd"/>
      <w:r w:rsidR="00135D70" w:rsidRPr="006869C1">
        <w:rPr>
          <w:rFonts w:asciiTheme="majorHAnsi" w:eastAsia="Times New Roman" w:hAnsiTheme="majorHAnsi" w:cs="Times New Roman"/>
          <w:color w:val="004274"/>
        </w:rPr>
        <w:t xml:space="preserve"> </w:t>
      </w:r>
      <w:proofErr w:type="spellStart"/>
      <w:r w:rsidR="00135D70" w:rsidRPr="006869C1">
        <w:rPr>
          <w:rFonts w:asciiTheme="majorHAnsi" w:eastAsia="Times New Roman" w:hAnsiTheme="majorHAnsi" w:cs="Times New Roman"/>
          <w:color w:val="004274"/>
        </w:rPr>
        <w:t>Procedures</w:t>
      </w:r>
      <w:proofErr w:type="spellEnd"/>
      <w:r w:rsidR="00135D70" w:rsidRPr="006869C1">
        <w:rPr>
          <w:rFonts w:asciiTheme="majorHAnsi" w:eastAsia="Times New Roman" w:hAnsiTheme="majorHAnsi" w:cs="Times New Roman"/>
          <w:color w:val="004274"/>
        </w:rPr>
        <w:t xml:space="preserve"> Kap</w:t>
      </w:r>
      <w:r w:rsidR="004C2CC9">
        <w:rPr>
          <w:rFonts w:asciiTheme="majorHAnsi" w:eastAsia="Times New Roman" w:hAnsiTheme="majorHAnsi" w:cs="Times New Roman"/>
          <w:color w:val="004274"/>
        </w:rPr>
        <w:t>.</w:t>
      </w:r>
      <w:r w:rsidR="00135D70" w:rsidRPr="006869C1">
        <w:rPr>
          <w:rFonts w:asciiTheme="majorHAnsi" w:eastAsia="Times New Roman" w:hAnsiTheme="majorHAnsi" w:cs="Times New Roman"/>
          <w:color w:val="004274"/>
        </w:rPr>
        <w:t xml:space="preserve"> 8 eller </w:t>
      </w:r>
      <w:r w:rsidRPr="00853EEE">
        <w:rPr>
          <w:rFonts w:asciiTheme="majorHAnsi" w:eastAsia="Times New Roman" w:hAnsiTheme="majorHAnsi" w:cs="Times New Roman"/>
          <w:color w:val="004274"/>
        </w:rPr>
        <w:t>Spel och tävlingsinfobanken på SGF:s hemsida under Lokala regler.</w:t>
      </w:r>
    </w:p>
    <w:p w14:paraId="37EBC306" w14:textId="588359B5" w:rsidR="00E47D05" w:rsidRPr="00853EEE" w:rsidRDefault="00E47D05" w:rsidP="00EA37FF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4274"/>
        </w:rPr>
      </w:pPr>
      <w:r w:rsidRPr="00853EEE">
        <w:rPr>
          <w:rFonts w:asciiTheme="majorHAnsi" w:eastAsia="Times New Roman" w:hAnsiTheme="majorHAnsi" w:cs="Times New Roman"/>
          <w:b/>
          <w:color w:val="004274"/>
        </w:rPr>
        <w:t>PLIKT FÖR BROTT MOTT LOKALA REGEL</w:t>
      </w:r>
      <w:r w:rsidRPr="00853EEE">
        <w:rPr>
          <w:rFonts w:asciiTheme="majorHAnsi" w:eastAsia="Times New Roman" w:hAnsiTheme="majorHAnsi" w:cs="Times New Roman"/>
          <w:color w:val="004274"/>
        </w:rPr>
        <w:t xml:space="preserve"> </w:t>
      </w:r>
      <w:r w:rsidRPr="00853EEE">
        <w:rPr>
          <w:rFonts w:asciiTheme="majorHAnsi" w:eastAsia="Times New Roman" w:hAnsiTheme="majorHAnsi" w:cs="Times New Roman"/>
          <w:i/>
          <w:color w:val="004274"/>
        </w:rPr>
        <w:t>(om inget annat sägs i den lokala regeln)</w:t>
      </w:r>
      <w:r w:rsidRPr="00853EEE">
        <w:rPr>
          <w:rFonts w:asciiTheme="majorHAnsi" w:eastAsia="Times New Roman" w:hAnsiTheme="majorHAnsi" w:cs="Times New Roman"/>
          <w:color w:val="004274"/>
        </w:rPr>
        <w:t>:</w:t>
      </w:r>
      <w:r w:rsidRPr="00853EEE">
        <w:rPr>
          <w:rFonts w:asciiTheme="majorHAnsi" w:eastAsia="Times New Roman" w:hAnsiTheme="majorHAnsi" w:cs="Times New Roman"/>
          <w:color w:val="004274"/>
        </w:rPr>
        <w:br/>
      </w:r>
      <w:r w:rsidR="00E713FA" w:rsidRPr="00853EEE">
        <w:rPr>
          <w:rFonts w:asciiTheme="majorHAnsi" w:hAnsiTheme="majorHAnsi"/>
          <w:b/>
          <w:i/>
          <w:color w:val="FF0000"/>
        </w:rPr>
        <w:t xml:space="preserve">Allmän plikt </w:t>
      </w:r>
      <w:r w:rsidR="00E713FA" w:rsidRPr="00853EEE">
        <w:rPr>
          <w:rFonts w:asciiTheme="majorHAnsi" w:eastAsia="Times New Roman" w:hAnsiTheme="majorHAnsi" w:cs="Times New Roman"/>
          <w:color w:val="004274"/>
        </w:rPr>
        <w:t>(förlust av hål i matchspel eller två slags plikt i slagspel).</w:t>
      </w:r>
    </w:p>
    <w:p w14:paraId="6AA57EAA" w14:textId="1F473973" w:rsidR="00E519D4" w:rsidRPr="005B6FE2" w:rsidRDefault="007C085A" w:rsidP="00443635">
      <w:pPr>
        <w:spacing w:after="0"/>
        <w:rPr>
          <w:rFonts w:asciiTheme="majorHAnsi" w:eastAsia="Times New Roman" w:hAnsiTheme="majorHAnsi" w:cs="Times New Roman"/>
          <w:color w:val="004274"/>
        </w:rPr>
      </w:pP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1. </w:t>
      </w:r>
      <w:proofErr w:type="spellStart"/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Out</w:t>
      </w:r>
      <w:proofErr w:type="spellEnd"/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 </w:t>
      </w:r>
      <w:proofErr w:type="spellStart"/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of</w:t>
      </w:r>
      <w:proofErr w:type="spellEnd"/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 </w:t>
      </w:r>
      <w:proofErr w:type="spellStart"/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bounds</w:t>
      </w:r>
      <w:proofErr w:type="spellEnd"/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 (Regel 18.2)</w:t>
      </w: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br/>
      </w:r>
      <w:r w:rsidR="00CF444A" w:rsidRPr="00853EEE">
        <w:rPr>
          <w:rFonts w:asciiTheme="majorHAnsi" w:eastAsia="Times New Roman" w:hAnsiTheme="majorHAnsi" w:cs="Times New Roman"/>
          <w:bCs/>
          <w:color w:val="004274"/>
          <w:sz w:val="20"/>
          <w:szCs w:val="20"/>
        </w:rPr>
        <w:t xml:space="preserve"> </w:t>
      </w:r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 xml:space="preserve">Vid spel av hål 16 är hål 11 </w:t>
      </w:r>
      <w:proofErr w:type="spellStart"/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>out</w:t>
      </w:r>
      <w:proofErr w:type="spellEnd"/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 xml:space="preserve"> </w:t>
      </w:r>
      <w:proofErr w:type="spellStart"/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>of</w:t>
      </w:r>
      <w:proofErr w:type="spellEnd"/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 xml:space="preserve"> </w:t>
      </w:r>
      <w:proofErr w:type="spellStart"/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>bounds</w:t>
      </w:r>
      <w:proofErr w:type="spellEnd"/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 xml:space="preserve">, hålet </w:t>
      </w:r>
      <w:r w:rsidR="00C94E4A" w:rsidRPr="005B6FE2">
        <w:rPr>
          <w:rFonts w:asciiTheme="majorHAnsi" w:eastAsia="Times New Roman" w:hAnsiTheme="majorHAnsi" w:cs="Times New Roman"/>
          <w:bCs/>
          <w:color w:val="004274"/>
        </w:rPr>
        <w:t xml:space="preserve">är </w:t>
      </w:r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 xml:space="preserve">definierat med vita pinnar. Dessa pinnar behandlas som föremål för banans gräns under spel av hål 16. På alla andra hål är de </w:t>
      </w:r>
      <w:r w:rsidR="00E47D05" w:rsidRPr="005B6FE2">
        <w:rPr>
          <w:rFonts w:asciiTheme="majorHAnsi" w:eastAsia="Times New Roman" w:hAnsiTheme="majorHAnsi" w:cs="Times New Roman"/>
          <w:bCs/>
          <w:i/>
          <w:color w:val="004274"/>
        </w:rPr>
        <w:t>oflyttbara tillverkade föremål</w:t>
      </w:r>
      <w:r w:rsidR="00E47D05" w:rsidRPr="005B6FE2">
        <w:rPr>
          <w:rFonts w:asciiTheme="majorHAnsi" w:eastAsia="Times New Roman" w:hAnsiTheme="majorHAnsi" w:cs="Times New Roman"/>
          <w:bCs/>
          <w:color w:val="004274"/>
        </w:rPr>
        <w:t>.</w:t>
      </w:r>
      <w:r w:rsidR="00E47D05" w:rsidRPr="005B6FE2">
        <w:rPr>
          <w:rFonts w:asciiTheme="majorHAnsi" w:eastAsia="Times New Roman" w:hAnsiTheme="majorHAnsi" w:cs="Times New Roman"/>
          <w:bCs/>
          <w:color w:val="004274"/>
        </w:rPr>
        <w:br/>
      </w:r>
      <w:r w:rsidRPr="00853EEE">
        <w:rPr>
          <w:rFonts w:asciiTheme="majorHAnsi" w:eastAsia="Times New Roman" w:hAnsiTheme="majorHAnsi" w:cs="Times New Roman"/>
          <w:b/>
          <w:bCs/>
          <w:color w:val="004274"/>
        </w:rPr>
        <w:br/>
      </w: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2. </w:t>
      </w:r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Pliktområde</w:t>
      </w: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 </w:t>
      </w:r>
      <w:r w:rsidR="00E376FB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(</w:t>
      </w: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Regel </w:t>
      </w:r>
      <w:r w:rsidR="00832160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17</w:t>
      </w:r>
      <w:r w:rsidR="00E376FB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)</w:t>
      </w:r>
      <w:r w:rsidRPr="00853EEE">
        <w:rPr>
          <w:rFonts w:asciiTheme="majorHAnsi" w:eastAsia="Times New Roman" w:hAnsiTheme="majorHAnsi" w:cs="Times New Roman"/>
          <w:b/>
          <w:bCs/>
          <w:color w:val="004274"/>
        </w:rPr>
        <w:t xml:space="preserve"> </w:t>
      </w:r>
      <w:r w:rsidRPr="00853EEE">
        <w:rPr>
          <w:rFonts w:asciiTheme="majorHAnsi" w:eastAsia="Times New Roman" w:hAnsiTheme="majorHAnsi" w:cs="Times New Roman"/>
          <w:b/>
          <w:bCs/>
          <w:color w:val="004274"/>
        </w:rPr>
        <w:br/>
      </w:r>
      <w:r w:rsidR="00832160" w:rsidRPr="005B6FE2">
        <w:rPr>
          <w:rFonts w:asciiTheme="majorHAnsi" w:eastAsia="Times New Roman" w:hAnsiTheme="majorHAnsi" w:cs="Times New Roman"/>
          <w:color w:val="004274"/>
        </w:rPr>
        <w:t>Gränsen till rött och gult pliktområde</w:t>
      </w:r>
      <w:r w:rsidRPr="005B6FE2">
        <w:rPr>
          <w:rFonts w:asciiTheme="majorHAnsi" w:eastAsia="Times New Roman" w:hAnsiTheme="majorHAnsi" w:cs="Times New Roman"/>
          <w:color w:val="004274"/>
        </w:rPr>
        <w:t xml:space="preserve"> går där marken bryter av mot </w:t>
      </w:r>
      <w:r w:rsidR="00832160" w:rsidRPr="005B6FE2">
        <w:rPr>
          <w:rFonts w:asciiTheme="majorHAnsi" w:eastAsia="Times New Roman" w:hAnsiTheme="majorHAnsi" w:cs="Times New Roman"/>
          <w:i/>
          <w:iCs/>
          <w:color w:val="004274"/>
        </w:rPr>
        <w:t>pliktområdet</w:t>
      </w:r>
      <w:r w:rsidR="007C33B2" w:rsidRPr="005B6FE2">
        <w:rPr>
          <w:rFonts w:asciiTheme="majorHAnsi" w:eastAsia="Times New Roman" w:hAnsiTheme="majorHAnsi" w:cs="Times New Roman"/>
          <w:color w:val="004274"/>
        </w:rPr>
        <w:t xml:space="preserve">. </w:t>
      </w:r>
    </w:p>
    <w:p w14:paraId="37B993CF" w14:textId="16BB675D" w:rsidR="00FB6F68" w:rsidRPr="002E18C2" w:rsidRDefault="007C085A" w:rsidP="00184F2C">
      <w:pPr>
        <w:spacing w:line="240" w:lineRule="auto"/>
        <w:rPr>
          <w:rFonts w:asciiTheme="majorHAnsi" w:eastAsia="Times New Roman" w:hAnsiTheme="majorHAnsi" w:cs="Times New Roman"/>
          <w:color w:val="004274"/>
        </w:rPr>
      </w:pPr>
      <w:r w:rsidRPr="00853EEE">
        <w:rPr>
          <w:rFonts w:asciiTheme="majorHAnsi" w:eastAsia="Times New Roman" w:hAnsiTheme="majorHAnsi" w:cs="Times New Roman"/>
          <w:color w:val="004274"/>
        </w:rPr>
        <w:br/>
      </w:r>
      <w:r w:rsidR="003466C5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3</w:t>
      </w:r>
      <w:r w:rsidR="00E519D4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. Onormala ban</w:t>
      </w: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förhållanden </w:t>
      </w:r>
      <w:r w:rsidR="0030579D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inklusive oflyttbara tillverkade för</w:t>
      </w:r>
      <w:r w:rsidR="005E42F3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e</w:t>
      </w:r>
      <w:r w:rsidR="0030579D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mål</w:t>
      </w:r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 </w:t>
      </w:r>
      <w:r w:rsidR="00E376FB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br/>
        <w:t xml:space="preserve"> </w:t>
      </w:r>
      <w:proofErr w:type="gramStart"/>
      <w:r w:rsidR="00E376FB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   (</w:t>
      </w:r>
      <w:proofErr w:type="gramEnd"/>
      <w:r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 xml:space="preserve">Regel </w:t>
      </w:r>
      <w:r w:rsidR="00E519D4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16</w:t>
      </w:r>
      <w:r w:rsidR="00E376FB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)</w:t>
      </w:r>
      <w:r w:rsidRPr="00853EEE">
        <w:rPr>
          <w:rFonts w:asciiTheme="majorHAnsi" w:eastAsia="Times New Roman" w:hAnsiTheme="majorHAnsi" w:cs="Times New Roman"/>
          <w:color w:val="004274"/>
          <w:sz w:val="26"/>
          <w:szCs w:val="26"/>
        </w:rPr>
        <w:t xml:space="preserve"> </w:t>
      </w:r>
      <w:r w:rsidR="001A145A" w:rsidRPr="00853EEE">
        <w:rPr>
          <w:rFonts w:asciiTheme="majorHAnsi" w:eastAsia="Times New Roman" w:hAnsiTheme="majorHAnsi" w:cs="Times New Roman"/>
          <w:color w:val="004274"/>
          <w:sz w:val="26"/>
          <w:szCs w:val="26"/>
        </w:rPr>
        <w:br/>
      </w:r>
      <w:r w:rsidR="00E376FB" w:rsidRPr="005B6FE2">
        <w:rPr>
          <w:rFonts w:asciiTheme="majorHAnsi" w:eastAsia="Times New Roman" w:hAnsiTheme="majorHAnsi" w:cs="Times New Roman"/>
          <w:b/>
          <w:color w:val="004274"/>
        </w:rPr>
        <w:t xml:space="preserve">a) </w:t>
      </w:r>
      <w:r w:rsidR="00E376FB" w:rsidRPr="005B6FE2">
        <w:rPr>
          <w:rFonts w:asciiTheme="majorHAnsi" w:eastAsia="Times New Roman" w:hAnsiTheme="majorHAnsi" w:cs="Times New Roman"/>
          <w:color w:val="004274"/>
        </w:rPr>
        <w:t>Mark under arbete(MUA)</w:t>
      </w:r>
      <w:r w:rsidR="00E376FB" w:rsidRPr="005B6FE2">
        <w:rPr>
          <w:rFonts w:asciiTheme="majorHAnsi" w:eastAsia="Times New Roman" w:hAnsiTheme="majorHAnsi" w:cs="Times New Roman"/>
          <w:b/>
          <w:color w:val="004274"/>
        </w:rPr>
        <w:br/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1. Alla områden som identifieras av blå pinnar eller på annat sätt angetts som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mark under arbete</w:t>
      </w:r>
      <w:r w:rsidR="00E376FB" w:rsidRPr="005B6FE2">
        <w:rPr>
          <w:rFonts w:asciiTheme="majorHAnsi" w:eastAsia="Times New Roman" w:hAnsiTheme="majorHAnsi" w:cs="Times New Roman"/>
          <w:color w:val="004274"/>
        </w:rPr>
        <w:t>.</w:t>
      </w:r>
      <w:r w:rsidR="00E376FB" w:rsidRPr="005B6FE2">
        <w:rPr>
          <w:rFonts w:asciiTheme="majorHAnsi" w:eastAsia="Times New Roman" w:hAnsiTheme="majorHAnsi" w:cs="Times New Roman"/>
          <w:color w:val="004274"/>
        </w:rPr>
        <w:br/>
        <w:t>2</w:t>
      </w:r>
      <w:r w:rsidR="00E376FB" w:rsidRPr="00135D70">
        <w:rPr>
          <w:rFonts w:asciiTheme="majorHAnsi" w:eastAsia="Times New Roman" w:hAnsiTheme="majorHAnsi" w:cs="Times New Roman"/>
          <w:color w:val="004274"/>
          <w:u w:val="single"/>
        </w:rPr>
        <w:t xml:space="preserve">. </w:t>
      </w:r>
      <w:r w:rsidR="00135D70" w:rsidRPr="006869C1">
        <w:rPr>
          <w:rFonts w:asciiTheme="majorHAnsi" w:eastAsia="Times New Roman" w:hAnsiTheme="majorHAnsi" w:cs="Times New Roman"/>
          <w:color w:val="004274"/>
        </w:rPr>
        <w:t>Ett</w:t>
      </w:r>
      <w:r w:rsidR="00135D70">
        <w:rPr>
          <w:rFonts w:asciiTheme="majorHAnsi" w:eastAsia="Times New Roman" w:hAnsiTheme="majorHAnsi" w:cs="Times New Roman"/>
          <w:color w:val="004274"/>
        </w:rPr>
        <w:t xml:space="preserve"> o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mråde definierat av blå pinnar med grön topp är en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spelförbudszon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 som ska behandlas som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mark under</w:t>
      </w:r>
      <w:r w:rsidR="004C2CC9">
        <w:rPr>
          <w:rFonts w:asciiTheme="majorHAnsi" w:eastAsia="Times New Roman" w:hAnsiTheme="majorHAnsi" w:cs="Times New Roman"/>
          <w:i/>
          <w:color w:val="004274"/>
        </w:rPr>
        <w:br/>
        <w:t xml:space="preserve">   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arbete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. Lättnad utan plikt för störande inverkan av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spelförbudszonen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 måste tas enligt regel 16.1f.</w:t>
      </w:r>
      <w:r w:rsidR="00E376FB" w:rsidRPr="005B6FE2">
        <w:rPr>
          <w:rFonts w:asciiTheme="majorHAnsi" w:eastAsia="Times New Roman" w:hAnsiTheme="majorHAnsi" w:cs="Times New Roman"/>
          <w:color w:val="004274"/>
        </w:rPr>
        <w:br/>
        <w:t xml:space="preserve">3. Vit spraylinje runt om ett område definierar gränsen för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mark under arbete</w:t>
      </w:r>
      <w:r w:rsidR="00E376FB" w:rsidRPr="005B6FE2">
        <w:rPr>
          <w:rFonts w:asciiTheme="majorHAnsi" w:eastAsia="Times New Roman" w:hAnsiTheme="majorHAnsi" w:cs="Times New Roman"/>
          <w:color w:val="004274"/>
        </w:rPr>
        <w:t>.</w:t>
      </w:r>
      <w:r w:rsidR="00E376FB" w:rsidRPr="005B6FE2">
        <w:rPr>
          <w:rFonts w:asciiTheme="majorHAnsi" w:eastAsia="Times New Roman" w:hAnsiTheme="majorHAnsi" w:cs="Times New Roman"/>
          <w:color w:val="004274"/>
        </w:rPr>
        <w:br/>
        <w:t>4.</w:t>
      </w:r>
      <w:r w:rsidR="00E376FB" w:rsidRPr="005B6FE2">
        <w:rPr>
          <w:rFonts w:asciiTheme="majorHAnsi" w:hAnsiTheme="majorHAnsi" w:cs="Times"/>
          <w:color w:val="000000" w:themeColor="text1"/>
        </w:rPr>
        <w:t xml:space="preserve"> 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Områden i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bunkrar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 där sand har förts bort av rinnande vatten vilket gett upphov till djupa fåror genom</w:t>
      </w:r>
      <w:r w:rsidR="004C2CC9">
        <w:rPr>
          <w:rFonts w:asciiTheme="majorHAnsi" w:eastAsia="Times New Roman" w:hAnsiTheme="majorHAnsi" w:cs="Times New Roman"/>
          <w:color w:val="004274"/>
        </w:rPr>
        <w:br/>
        <w:t xml:space="preserve">     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sanden. </w:t>
      </w:r>
      <w:r w:rsidR="0077329E" w:rsidRPr="005B6FE2">
        <w:rPr>
          <w:rFonts w:asciiTheme="majorHAnsi" w:eastAsia="Times New Roman" w:hAnsiTheme="majorHAnsi" w:cs="Times New Roman"/>
          <w:color w:val="004274"/>
        </w:rPr>
        <w:br/>
        <w:t xml:space="preserve">5. </w:t>
      </w:r>
      <w:r w:rsidR="0077329E" w:rsidRPr="005B6FE2">
        <w:rPr>
          <w:rFonts w:asciiTheme="majorHAnsi" w:eastAsia="Times New Roman" w:hAnsiTheme="majorHAnsi" w:cs="Times New Roman"/>
          <w:i/>
          <w:iCs/>
          <w:color w:val="004274"/>
        </w:rPr>
        <w:t>Dräneringsdiket och dess breddade förlängning</w:t>
      </w:r>
      <w:r w:rsidR="0077329E" w:rsidRPr="005B6FE2">
        <w:rPr>
          <w:rFonts w:asciiTheme="majorHAnsi" w:eastAsia="Times New Roman" w:hAnsiTheme="majorHAnsi" w:cs="Times New Roman"/>
          <w:color w:val="004274"/>
        </w:rPr>
        <w:t xml:space="preserve"> längs höger sida av hål 1</w:t>
      </w:r>
      <w:r w:rsidR="00031F14" w:rsidRPr="005B6FE2">
        <w:rPr>
          <w:rFonts w:asciiTheme="majorHAnsi" w:eastAsia="Times New Roman" w:hAnsiTheme="majorHAnsi" w:cs="Times New Roman"/>
          <w:color w:val="004274"/>
        </w:rPr>
        <w:t>.</w:t>
      </w:r>
      <w:r w:rsidR="0002415B" w:rsidRPr="005B6FE2">
        <w:rPr>
          <w:rFonts w:asciiTheme="majorHAnsi" w:eastAsia="Times New Roman" w:hAnsiTheme="majorHAnsi" w:cs="Times New Roman"/>
          <w:color w:val="004274"/>
        </w:rPr>
        <w:br/>
      </w:r>
      <w:r w:rsidR="00E376FB" w:rsidRPr="005B6FE2">
        <w:rPr>
          <w:rFonts w:asciiTheme="majorHAnsi" w:eastAsia="Times New Roman" w:hAnsiTheme="majorHAnsi" w:cs="Times New Roman"/>
          <w:b/>
          <w:color w:val="004274"/>
        </w:rPr>
        <w:t xml:space="preserve">b)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>Skydd av unga träd</w:t>
      </w:r>
      <w:r w:rsidR="004C2CC9">
        <w:rPr>
          <w:rFonts w:asciiTheme="majorHAnsi" w:eastAsia="Times New Roman" w:hAnsiTheme="majorHAnsi" w:cs="Times New Roman"/>
          <w:b/>
          <w:color w:val="004274"/>
        </w:rPr>
        <w:t xml:space="preserve">: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De unga träden identifierade av pinnar eller band är </w:t>
      </w:r>
      <w:r w:rsidR="001A145A" w:rsidRPr="005B6FE2">
        <w:rPr>
          <w:rFonts w:asciiTheme="majorHAnsi" w:eastAsia="Times New Roman" w:hAnsiTheme="majorHAnsi" w:cs="Times New Roman"/>
          <w:i/>
          <w:color w:val="004274"/>
        </w:rPr>
        <w:t>spelförbudszoner</w:t>
      </w:r>
      <w:r w:rsidR="004C2CC9">
        <w:rPr>
          <w:rFonts w:asciiTheme="majorHAnsi" w:eastAsia="Times New Roman" w:hAnsiTheme="majorHAnsi" w:cs="Times New Roman"/>
          <w:color w:val="004274"/>
        </w:rPr>
        <w:t>:</w:t>
      </w:r>
      <w:r w:rsidR="00E376FB" w:rsidRPr="005B6FE2">
        <w:rPr>
          <w:rFonts w:asciiTheme="majorHAnsi" w:eastAsia="Times New Roman" w:hAnsiTheme="majorHAnsi" w:cs="Times New Roman"/>
          <w:color w:val="004274"/>
        </w:rPr>
        <w:br/>
        <w:t xml:space="preserve">1.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Om en spelares boll ligger var som helst på </w:t>
      </w:r>
      <w:r w:rsidR="001A145A" w:rsidRPr="005B6FE2">
        <w:rPr>
          <w:rFonts w:asciiTheme="majorHAnsi" w:eastAsia="Times New Roman" w:hAnsiTheme="majorHAnsi" w:cs="Times New Roman"/>
          <w:i/>
          <w:color w:val="004274"/>
        </w:rPr>
        <w:t>banan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, utom i ett </w:t>
      </w:r>
      <w:r w:rsidR="001A145A" w:rsidRPr="005B6FE2">
        <w:rPr>
          <w:rFonts w:asciiTheme="majorHAnsi" w:eastAsia="Times New Roman" w:hAnsiTheme="majorHAnsi" w:cs="Times New Roman"/>
          <w:i/>
          <w:color w:val="004274"/>
        </w:rPr>
        <w:t>pliktområde</w:t>
      </w:r>
      <w:r w:rsidR="001A145A" w:rsidRPr="005B6FE2">
        <w:rPr>
          <w:rFonts w:asciiTheme="majorHAnsi" w:eastAsia="Times New Roman" w:hAnsiTheme="majorHAnsi" w:cs="Times New Roman"/>
          <w:color w:val="004274"/>
        </w:rPr>
        <w:t>, och den ligger i eller vidrör ett</w:t>
      </w:r>
      <w:r w:rsidR="004C2CC9">
        <w:rPr>
          <w:rFonts w:asciiTheme="majorHAnsi" w:eastAsia="Times New Roman" w:hAnsiTheme="majorHAnsi" w:cs="Times New Roman"/>
          <w:color w:val="004274"/>
        </w:rPr>
        <w:br/>
        <w:t xml:space="preserve">    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sådant träd eller att ett sådant träd ger störande inverkan på spelarens </w:t>
      </w:r>
      <w:r w:rsidR="001A145A" w:rsidRPr="005B6FE2">
        <w:rPr>
          <w:rFonts w:asciiTheme="majorHAnsi" w:eastAsia="Times New Roman" w:hAnsiTheme="majorHAnsi" w:cs="Times New Roman"/>
          <w:i/>
          <w:color w:val="004274"/>
        </w:rPr>
        <w:t xml:space="preserve">stans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>eller området för den avsedda</w:t>
      </w:r>
      <w:r w:rsidR="004C2CC9">
        <w:rPr>
          <w:rFonts w:asciiTheme="majorHAnsi" w:eastAsia="Times New Roman" w:hAnsiTheme="majorHAnsi" w:cs="Times New Roman"/>
          <w:color w:val="004274"/>
        </w:rPr>
        <w:br/>
        <w:t xml:space="preserve">    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>svingen måste spelaren ta lättnad en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ligt Regel 16.1f. </w:t>
      </w:r>
      <w:r w:rsidR="00E376FB" w:rsidRPr="005B6FE2">
        <w:rPr>
          <w:rFonts w:asciiTheme="majorHAnsi" w:eastAsia="Times New Roman" w:hAnsiTheme="majorHAnsi" w:cs="Times New Roman"/>
          <w:color w:val="004274"/>
        </w:rPr>
        <w:br/>
        <w:t xml:space="preserve">2.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Om bollen ligger i ett </w:t>
      </w:r>
      <w:r w:rsidR="001A145A" w:rsidRPr="005B6FE2">
        <w:rPr>
          <w:rFonts w:asciiTheme="majorHAnsi" w:eastAsia="Times New Roman" w:hAnsiTheme="majorHAnsi" w:cs="Times New Roman"/>
          <w:i/>
          <w:color w:val="004274"/>
        </w:rPr>
        <w:t>pliktområde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, och ett sådant träd ger störande inverkan på spelarens </w:t>
      </w:r>
      <w:r w:rsidR="001A145A" w:rsidRPr="005B6FE2">
        <w:rPr>
          <w:rFonts w:asciiTheme="majorHAnsi" w:eastAsia="Times New Roman" w:hAnsiTheme="majorHAnsi" w:cs="Times New Roman"/>
          <w:i/>
          <w:color w:val="004274"/>
        </w:rPr>
        <w:t>stans</w:t>
      </w:r>
      <w:r w:rsidR="001A145A" w:rsidRPr="005B6FE2">
        <w:rPr>
          <w:rFonts w:asciiTheme="majorHAnsi" w:eastAsia="Times New Roman" w:hAnsiTheme="majorHAnsi" w:cs="Times New Roman"/>
          <w:color w:val="004274"/>
        </w:rPr>
        <w:t xml:space="preserve"> eller avsedda</w:t>
      </w:r>
      <w:r w:rsidR="004C2CC9">
        <w:rPr>
          <w:rFonts w:asciiTheme="majorHAnsi" w:eastAsia="Times New Roman" w:hAnsiTheme="majorHAnsi" w:cs="Times New Roman"/>
          <w:color w:val="004274"/>
        </w:rPr>
        <w:br/>
        <w:t xml:space="preserve">     </w:t>
      </w:r>
      <w:r w:rsidR="001A145A" w:rsidRPr="005B6FE2">
        <w:rPr>
          <w:rFonts w:asciiTheme="majorHAnsi" w:eastAsia="Times New Roman" w:hAnsiTheme="majorHAnsi" w:cs="Times New Roman"/>
          <w:color w:val="004274"/>
        </w:rPr>
        <w:t>sving, måste spelaren ta lättnad antingen med plikt enligt Regel 17.1e eller med lättnad ut</w:t>
      </w:r>
      <w:r w:rsidR="00C11407" w:rsidRPr="005B6FE2">
        <w:rPr>
          <w:rFonts w:asciiTheme="majorHAnsi" w:eastAsia="Times New Roman" w:hAnsiTheme="majorHAnsi" w:cs="Times New Roman"/>
          <w:color w:val="004274"/>
        </w:rPr>
        <w:t>an plikt enligt</w:t>
      </w:r>
      <w:r w:rsidR="004C2CC9">
        <w:rPr>
          <w:rFonts w:asciiTheme="majorHAnsi" w:eastAsia="Times New Roman" w:hAnsiTheme="majorHAnsi" w:cs="Times New Roman"/>
          <w:color w:val="004274"/>
        </w:rPr>
        <w:br/>
        <w:t xml:space="preserve">     </w:t>
      </w:r>
      <w:r w:rsidR="00C11407" w:rsidRPr="005B6FE2">
        <w:rPr>
          <w:rFonts w:asciiTheme="majorHAnsi" w:eastAsia="Times New Roman" w:hAnsiTheme="majorHAnsi" w:cs="Times New Roman"/>
          <w:color w:val="004274"/>
        </w:rPr>
        <w:t>Regel 17.1e(2).</w:t>
      </w:r>
      <w:r w:rsidR="00C11407" w:rsidRPr="005B6FE2">
        <w:rPr>
          <w:rFonts w:asciiTheme="majorHAnsi" w:eastAsia="Times New Roman" w:hAnsiTheme="majorHAnsi" w:cs="Times New Roman"/>
          <w:color w:val="004274"/>
        </w:rPr>
        <w:br/>
      </w:r>
      <w:r w:rsidR="00C11407" w:rsidRPr="005B6FE2">
        <w:rPr>
          <w:rFonts w:asciiTheme="majorHAnsi" w:eastAsia="Times New Roman" w:hAnsiTheme="majorHAnsi" w:cs="Times New Roman"/>
          <w:b/>
          <w:color w:val="004274"/>
        </w:rPr>
        <w:t>c)</w:t>
      </w:r>
      <w:r w:rsidR="00C11407" w:rsidRPr="005B6FE2">
        <w:rPr>
          <w:rFonts w:asciiTheme="majorHAnsi" w:eastAsia="Times New Roman" w:hAnsiTheme="majorHAnsi" w:cs="Times New Roman"/>
          <w:color w:val="004274"/>
        </w:rPr>
        <w:t xml:space="preserve"> 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Förankringar är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oflyttbara tillverkade föremål</w:t>
      </w:r>
      <w:r w:rsidR="00E376FB" w:rsidRPr="005B6FE2">
        <w:rPr>
          <w:rFonts w:asciiTheme="majorHAnsi" w:eastAsia="Times New Roman" w:hAnsiTheme="majorHAnsi" w:cs="Times New Roman"/>
          <w:color w:val="004274"/>
        </w:rPr>
        <w:t>. Lättnad enligt regel 16.1a.</w:t>
      </w:r>
      <w:r w:rsidR="00E376FB" w:rsidRPr="005B6FE2">
        <w:rPr>
          <w:rFonts w:asciiTheme="majorHAnsi" w:eastAsia="Times New Roman" w:hAnsiTheme="majorHAnsi" w:cs="Times New Roman"/>
          <w:color w:val="004274"/>
        </w:rPr>
        <w:br/>
      </w:r>
      <w:r w:rsidR="00C11407" w:rsidRPr="005B6FE2">
        <w:rPr>
          <w:rFonts w:asciiTheme="majorHAnsi" w:eastAsia="Times New Roman" w:hAnsiTheme="majorHAnsi" w:cs="Times New Roman"/>
          <w:b/>
          <w:color w:val="004274"/>
        </w:rPr>
        <w:t>e)</w:t>
      </w:r>
      <w:r w:rsidR="00C11407" w:rsidRPr="005B6FE2">
        <w:rPr>
          <w:rFonts w:asciiTheme="majorHAnsi" w:eastAsia="Times New Roman" w:hAnsiTheme="majorHAnsi" w:cs="Times New Roman"/>
          <w:color w:val="004274"/>
        </w:rPr>
        <w:t xml:space="preserve"> </w:t>
      </w:r>
      <w:r w:rsidR="00E376FB" w:rsidRPr="00DF407B">
        <w:rPr>
          <w:rFonts w:asciiTheme="majorHAnsi" w:eastAsia="Times New Roman" w:hAnsiTheme="majorHAnsi" w:cs="Times New Roman"/>
          <w:color w:val="004274"/>
        </w:rPr>
        <w:t>Vägen som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 sträcker sig rakt över på hål 9</w:t>
      </w:r>
      <w:r w:rsidR="00E376FB" w:rsidRPr="005B6FE2">
        <w:rPr>
          <w:rFonts w:asciiTheme="majorHAnsi" w:hAnsiTheme="majorHAnsi"/>
        </w:rPr>
        <w:t xml:space="preserve"> 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behandlas som </w:t>
      </w:r>
      <w:r w:rsidR="00E376FB" w:rsidRPr="005B6FE2">
        <w:rPr>
          <w:rFonts w:asciiTheme="majorHAnsi" w:eastAsia="Times New Roman" w:hAnsiTheme="majorHAnsi" w:cs="Times New Roman"/>
          <w:i/>
          <w:color w:val="004274"/>
        </w:rPr>
        <w:t>oflyttbara tillverkade föremål</w:t>
      </w:r>
      <w:r w:rsidR="00E376FB" w:rsidRPr="005B6FE2">
        <w:rPr>
          <w:rFonts w:asciiTheme="majorHAnsi" w:eastAsia="Times New Roman" w:hAnsiTheme="majorHAnsi" w:cs="Times New Roman"/>
          <w:color w:val="004274"/>
        </w:rPr>
        <w:t xml:space="preserve">. </w:t>
      </w:r>
      <w:r w:rsidR="005B6FE2">
        <w:rPr>
          <w:rFonts w:asciiTheme="majorHAnsi" w:eastAsia="Times New Roman" w:hAnsiTheme="majorHAnsi" w:cs="Times New Roman"/>
          <w:color w:val="004274"/>
        </w:rPr>
        <w:br/>
        <w:t xml:space="preserve">     </w:t>
      </w:r>
      <w:r w:rsidR="00E376FB" w:rsidRPr="005B6FE2">
        <w:rPr>
          <w:rFonts w:asciiTheme="majorHAnsi" w:eastAsia="Times New Roman" w:hAnsiTheme="majorHAnsi" w:cs="Times New Roman"/>
          <w:color w:val="004274"/>
        </w:rPr>
        <w:t>Lättnad enligt Regel 16.1.</w:t>
      </w:r>
      <w:r w:rsidR="002E18C2">
        <w:rPr>
          <w:rFonts w:asciiTheme="majorHAnsi" w:eastAsia="Times New Roman" w:hAnsiTheme="majorHAnsi" w:cs="Times New Roman"/>
          <w:color w:val="004274"/>
        </w:rPr>
        <w:br/>
      </w:r>
      <w:r w:rsidR="002E18C2" w:rsidRPr="002E18C2">
        <w:rPr>
          <w:rFonts w:asciiTheme="majorHAnsi" w:eastAsia="Times New Roman" w:hAnsiTheme="majorHAnsi" w:cs="Times New Roman"/>
          <w:b/>
          <w:bCs/>
          <w:color w:val="004274"/>
        </w:rPr>
        <w:t>f)</w:t>
      </w:r>
      <w:r w:rsidR="002E18C2">
        <w:rPr>
          <w:rFonts w:asciiTheme="majorHAnsi" w:eastAsia="Times New Roman" w:hAnsiTheme="majorHAnsi" w:cs="Times New Roman"/>
          <w:color w:val="004274"/>
        </w:rPr>
        <w:t xml:space="preserve"> Stillastående</w:t>
      </w:r>
      <w:r w:rsidR="002E18C2" w:rsidRPr="002E18C2">
        <w:rPr>
          <w:rFonts w:asciiTheme="majorHAnsi" w:eastAsia="Times New Roman" w:hAnsiTheme="majorHAnsi" w:cs="Times New Roman"/>
          <w:color w:val="004274"/>
        </w:rPr>
        <w:t xml:space="preserve"> robotgräsklippare</w:t>
      </w:r>
      <w:r w:rsidR="002E18C2">
        <w:rPr>
          <w:rFonts w:asciiTheme="majorHAnsi" w:eastAsia="Times New Roman" w:hAnsiTheme="majorHAnsi" w:cs="Times New Roman"/>
          <w:color w:val="004274"/>
        </w:rPr>
        <w:t xml:space="preserve"> och dess</w:t>
      </w:r>
      <w:r w:rsidR="002E18C2" w:rsidRPr="002E18C2">
        <w:rPr>
          <w:rFonts w:asciiTheme="majorHAnsi" w:eastAsia="Times New Roman" w:hAnsiTheme="majorHAnsi" w:cs="Times New Roman"/>
          <w:color w:val="004274"/>
        </w:rPr>
        <w:t xml:space="preserve"> lad</w:t>
      </w:r>
      <w:proofErr w:type="spellStart"/>
      <w:r w:rsidR="002E18C2" w:rsidRPr="002E18C2">
        <w:rPr>
          <w:rFonts w:asciiTheme="majorHAnsi" w:eastAsia="Times New Roman" w:hAnsiTheme="majorHAnsi" w:cs="Times New Roman"/>
          <w:color w:val="004274"/>
        </w:rPr>
        <w:t>dstatio</w:t>
      </w:r>
      <w:r w:rsidR="002E18C2">
        <w:rPr>
          <w:rFonts w:asciiTheme="majorHAnsi" w:eastAsia="Times New Roman" w:hAnsiTheme="majorHAnsi" w:cs="Times New Roman"/>
          <w:color w:val="004274"/>
        </w:rPr>
        <w:t>n</w:t>
      </w:r>
      <w:proofErr w:type="spellEnd"/>
      <w:r w:rsidR="002E18C2">
        <w:rPr>
          <w:rFonts w:asciiTheme="majorHAnsi" w:eastAsia="Times New Roman" w:hAnsiTheme="majorHAnsi" w:cs="Times New Roman"/>
          <w:i/>
          <w:iCs/>
          <w:color w:val="004274"/>
        </w:rPr>
        <w:t xml:space="preserve"> </w:t>
      </w:r>
      <w:r w:rsidR="002E18C2" w:rsidRPr="002E18C2">
        <w:rPr>
          <w:rFonts w:asciiTheme="majorHAnsi" w:eastAsia="Times New Roman" w:hAnsiTheme="majorHAnsi" w:cs="Times New Roman"/>
          <w:color w:val="004274"/>
        </w:rPr>
        <w:t>är</w:t>
      </w:r>
      <w:r w:rsidR="002E18C2">
        <w:rPr>
          <w:rFonts w:asciiTheme="majorHAnsi" w:eastAsia="Times New Roman" w:hAnsiTheme="majorHAnsi" w:cs="Times New Roman"/>
          <w:i/>
          <w:iCs/>
          <w:color w:val="004274"/>
        </w:rPr>
        <w:t xml:space="preserve"> </w:t>
      </w:r>
      <w:r w:rsidR="002E18C2" w:rsidRPr="002E18C2">
        <w:rPr>
          <w:rFonts w:asciiTheme="majorHAnsi" w:eastAsia="Times New Roman" w:hAnsiTheme="majorHAnsi" w:cs="Times New Roman"/>
          <w:i/>
          <w:iCs/>
          <w:color w:val="004274"/>
        </w:rPr>
        <w:t>oflyttbart tillverkat föremål</w:t>
      </w:r>
      <w:r w:rsidR="002E18C2">
        <w:rPr>
          <w:rFonts w:asciiTheme="majorHAnsi" w:eastAsia="Times New Roman" w:hAnsiTheme="majorHAnsi" w:cs="Times New Roman"/>
          <w:i/>
          <w:iCs/>
          <w:color w:val="004274"/>
        </w:rPr>
        <w:t xml:space="preserve">. </w:t>
      </w:r>
      <w:r w:rsidR="002E18C2" w:rsidRPr="002E18C2">
        <w:rPr>
          <w:rFonts w:asciiTheme="majorHAnsi" w:eastAsia="Times New Roman" w:hAnsiTheme="majorHAnsi" w:cs="Times New Roman"/>
          <w:color w:val="004274"/>
        </w:rPr>
        <w:t>Lättnad enligt regel 16.1</w:t>
      </w:r>
      <w:r w:rsidR="002E18C2">
        <w:rPr>
          <w:rFonts w:asciiTheme="majorHAnsi" w:eastAsia="Times New Roman" w:hAnsiTheme="majorHAnsi" w:cs="Times New Roman"/>
          <w:color w:val="004274"/>
        </w:rPr>
        <w:t>.</w:t>
      </w:r>
    </w:p>
    <w:p w14:paraId="4B602D1F" w14:textId="77777777" w:rsidR="0060619E" w:rsidRPr="00853EEE" w:rsidRDefault="0060619E" w:rsidP="002E18C2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14:paraId="4A5E8200" w14:textId="3AF624EB" w:rsidR="0060619E" w:rsidRPr="00853EEE" w:rsidRDefault="00853EEE" w:rsidP="00853EEE">
      <w:pPr>
        <w:tabs>
          <w:tab w:val="left" w:pos="6432"/>
        </w:tabs>
        <w:autoSpaceDE w:val="0"/>
        <w:autoSpaceDN w:val="0"/>
        <w:adjustRightInd w:val="0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lastRenderedPageBreak/>
        <w:tab/>
      </w:r>
    </w:p>
    <w:p w14:paraId="1D674FFE" w14:textId="28F7D270" w:rsidR="003466C5" w:rsidRPr="00853EEE" w:rsidRDefault="000E339A" w:rsidP="003466C5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</w:pPr>
      <w:r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5</w:t>
      </w:r>
      <w:r w:rsidR="003466C5" w:rsidRPr="00853EEE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 xml:space="preserve">. </w:t>
      </w:r>
      <w:r w:rsidR="003466C5" w:rsidRPr="00853EEE">
        <w:rPr>
          <w:rFonts w:asciiTheme="majorHAnsi" w:eastAsia="Times New Roman" w:hAnsiTheme="majorHAnsi" w:cs="Times New Roman"/>
          <w:b/>
          <w:bCs/>
          <w:color w:val="004274"/>
          <w:sz w:val="26"/>
          <w:szCs w:val="26"/>
        </w:rPr>
        <w:t>Begränsningar i att använda speciell utrustning</w:t>
      </w:r>
    </w:p>
    <w:p w14:paraId="52DF8B34" w14:textId="01610BE5" w:rsidR="003466C5" w:rsidRPr="004C2CC9" w:rsidRDefault="003466C5" w:rsidP="005E7952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4274"/>
        </w:rPr>
      </w:pPr>
      <w:r w:rsidRPr="005B6FE2">
        <w:rPr>
          <w:rFonts w:asciiTheme="majorHAnsi" w:eastAsia="Times New Roman" w:hAnsiTheme="majorHAnsi" w:cs="Times New Roman"/>
          <w:b/>
          <w:bCs/>
          <w:color w:val="004274"/>
        </w:rPr>
        <w:t>a) Förbjuden användning av motoriserad förflyttning</w:t>
      </w:r>
      <w:r w:rsidR="005E7952" w:rsidRPr="005B6FE2">
        <w:rPr>
          <w:rFonts w:asciiTheme="majorHAnsi" w:eastAsia="Times New Roman" w:hAnsiTheme="majorHAnsi" w:cs="Times New Roman"/>
          <w:b/>
          <w:bCs/>
          <w:color w:val="004274"/>
        </w:rPr>
        <w:br/>
      </w:r>
      <w:r w:rsidRPr="002E18C2">
        <w:rPr>
          <w:rFonts w:asciiTheme="majorHAnsi" w:eastAsia="Times New Roman" w:hAnsiTheme="majorHAnsi" w:cs="Times New Roman"/>
          <w:color w:val="004274"/>
        </w:rPr>
        <w:t xml:space="preserve">1. </w:t>
      </w:r>
      <w:r w:rsidRPr="004C2CC9">
        <w:rPr>
          <w:rFonts w:asciiTheme="majorHAnsi" w:eastAsia="Times New Roman" w:hAnsiTheme="majorHAnsi" w:cs="Times New Roman"/>
          <w:color w:val="004274"/>
        </w:rPr>
        <w:t xml:space="preserve">Under en tävlingsrond får en spelare eller dennes caddie inte åka med någon form av motoriserat transportmedel med undantag för när det godkänts eller senare tillåtits av tävlingsledningen. </w:t>
      </w:r>
    </w:p>
    <w:p w14:paraId="64EC36FC" w14:textId="77777777" w:rsidR="003466C5" w:rsidRPr="005B6FE2" w:rsidRDefault="003466C5" w:rsidP="003466C5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4274"/>
        </w:rPr>
      </w:pPr>
      <w:r w:rsidRPr="005B6FE2">
        <w:rPr>
          <w:rFonts w:asciiTheme="majorHAnsi" w:eastAsia="Times New Roman" w:hAnsiTheme="majorHAnsi" w:cs="Times New Roman"/>
          <w:color w:val="004274"/>
        </w:rPr>
        <w:t xml:space="preserve">En spelare </w:t>
      </w:r>
      <w:r w:rsidRPr="004C2CC9">
        <w:rPr>
          <w:rFonts w:asciiTheme="majorHAnsi" w:eastAsia="Times New Roman" w:hAnsiTheme="majorHAnsi" w:cs="Times New Roman"/>
          <w:color w:val="004274"/>
        </w:rPr>
        <w:t>som</w:t>
      </w:r>
      <w:r w:rsidRPr="005B6FE2">
        <w:rPr>
          <w:rFonts w:asciiTheme="majorHAnsi" w:eastAsia="Times New Roman" w:hAnsiTheme="majorHAnsi" w:cs="Times New Roman"/>
          <w:color w:val="004274"/>
        </w:rPr>
        <w:t xml:space="preserve"> ska spela eller har spelat med plikt av </w:t>
      </w:r>
      <w:r w:rsidRPr="004C2CC9">
        <w:rPr>
          <w:rFonts w:asciiTheme="majorHAnsi" w:eastAsia="Times New Roman" w:hAnsiTheme="majorHAnsi" w:cs="Times New Roman"/>
          <w:color w:val="004274"/>
        </w:rPr>
        <w:t>slag och distans</w:t>
      </w:r>
      <w:r w:rsidRPr="005B6FE2">
        <w:rPr>
          <w:rFonts w:asciiTheme="majorHAnsi" w:eastAsia="Times New Roman" w:hAnsiTheme="majorHAnsi" w:cs="Times New Roman"/>
          <w:color w:val="004274"/>
        </w:rPr>
        <w:t xml:space="preserve"> har alltid rätt att vid det tillfället åka med motoriserat transportmedel.</w:t>
      </w:r>
    </w:p>
    <w:p w14:paraId="532FB000" w14:textId="3D9792DB" w:rsidR="003466C5" w:rsidRPr="005B6FE2" w:rsidRDefault="003466C5" w:rsidP="003466C5">
      <w:pPr>
        <w:autoSpaceDE w:val="0"/>
        <w:autoSpaceDN w:val="0"/>
        <w:adjustRightInd w:val="0"/>
        <w:rPr>
          <w:rFonts w:asciiTheme="majorHAnsi" w:hAnsiTheme="majorHAnsi"/>
          <w:bCs/>
          <w:iCs/>
          <w:color w:val="FF0000"/>
        </w:rPr>
      </w:pPr>
      <w:r w:rsidRPr="002E18C2">
        <w:rPr>
          <w:rFonts w:asciiTheme="majorHAnsi" w:eastAsia="Times New Roman" w:hAnsiTheme="majorHAnsi" w:cs="Times New Roman"/>
          <w:b/>
          <w:bCs/>
          <w:color w:val="004274"/>
        </w:rPr>
        <w:t>Undantag: Deltagare med tillstånd från sin hemmaklubb eller tillstånd från SGF får använda transportmedel.</w:t>
      </w:r>
      <w:r w:rsidR="005B6FE2" w:rsidRPr="002E18C2">
        <w:rPr>
          <w:rFonts w:asciiTheme="majorHAnsi" w:eastAsia="Times New Roman" w:hAnsiTheme="majorHAnsi" w:cs="Times New Roman"/>
          <w:b/>
          <w:bCs/>
          <w:color w:val="004274"/>
        </w:rPr>
        <w:br/>
      </w:r>
      <w:r w:rsidR="005E7952" w:rsidRPr="002E18C2">
        <w:rPr>
          <w:rFonts w:asciiTheme="majorHAnsi" w:eastAsia="Times New Roman" w:hAnsiTheme="majorHAnsi" w:cs="Times New Roman"/>
          <w:color w:val="004274"/>
        </w:rPr>
        <w:br/>
      </w:r>
      <w:r w:rsidRPr="005B6FE2">
        <w:rPr>
          <w:rFonts w:asciiTheme="majorHAnsi" w:hAnsiTheme="majorHAnsi"/>
          <w:b/>
          <w:i/>
          <w:color w:val="FF0000"/>
        </w:rPr>
        <w:t xml:space="preserve">Plikt för brott mot den lokala regeln: </w:t>
      </w:r>
      <w:r w:rsidRPr="005B6FE2">
        <w:rPr>
          <w:rFonts w:asciiTheme="majorHAnsi" w:hAnsiTheme="majorHAnsi"/>
          <w:bCs/>
          <w:iCs/>
          <w:color w:val="FF0000"/>
        </w:rPr>
        <w:t>Spelaren får den allmänna plikten för varje hål på vilket denna lokala regel bryts. Om överträdelsen sker mellan två hål läggs plikten på nästa hål.</w:t>
      </w:r>
    </w:p>
    <w:p w14:paraId="677FBFDF" w14:textId="125B5821" w:rsidR="003466C5" w:rsidRPr="00853EEE" w:rsidRDefault="000E339A" w:rsidP="003466C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 w:cs="Times"/>
          <w:b/>
          <w:color w:val="17365D" w:themeColor="text2" w:themeShade="BF"/>
          <w:sz w:val="28"/>
          <w:szCs w:val="28"/>
        </w:rPr>
        <w:t>6</w:t>
      </w:r>
      <w:r w:rsidR="003466C5" w:rsidRPr="00853EEE">
        <w:rPr>
          <w:rFonts w:asciiTheme="majorHAnsi" w:hAnsiTheme="majorHAnsi" w:cs="Times"/>
          <w:b/>
          <w:color w:val="17365D" w:themeColor="text2" w:themeShade="BF"/>
          <w:sz w:val="28"/>
          <w:szCs w:val="28"/>
        </w:rPr>
        <w:t>. Scorekortsansvar</w:t>
      </w:r>
    </w:p>
    <w:p w14:paraId="7101BE39" w14:textId="10757A2A" w:rsidR="003466C5" w:rsidRPr="005B6FE2" w:rsidRDefault="003466C5" w:rsidP="003466C5">
      <w:pPr>
        <w:rPr>
          <w:rFonts w:asciiTheme="majorHAnsi" w:hAnsiTheme="majorHAnsi"/>
          <w:color w:val="004274"/>
        </w:rPr>
      </w:pPr>
      <w:r w:rsidRPr="004C2CC9">
        <w:rPr>
          <w:rFonts w:asciiTheme="majorHAnsi" w:eastAsia="Times New Roman" w:hAnsiTheme="majorHAnsi" w:cs="Times New Roman"/>
          <w:color w:val="004274"/>
        </w:rPr>
        <w:t>1. Regel 3.3b(2) har modifierats på detta sätt:</w:t>
      </w:r>
      <w:r w:rsidR="00727EB8">
        <w:rPr>
          <w:rFonts w:asciiTheme="majorHAnsi" w:eastAsia="Times New Roman" w:hAnsiTheme="majorHAnsi" w:cs="Times New Roman"/>
          <w:color w:val="004274"/>
        </w:rPr>
        <w:br/>
      </w:r>
      <w:r w:rsidRPr="004C2CC9">
        <w:rPr>
          <w:rFonts w:asciiTheme="majorHAnsi" w:eastAsia="Times New Roman" w:hAnsiTheme="majorHAnsi" w:cs="Times New Roman"/>
          <w:color w:val="004274"/>
        </w:rPr>
        <w:t>Om en spelare vid en tävlingsrond lämnar in ett scorekort utan att hålresultaten har intygats antingen av spelaren, markören eller båda,</w:t>
      </w:r>
      <w:r w:rsidRPr="005B6FE2">
        <w:rPr>
          <w:rFonts w:asciiTheme="majorHAnsi" w:hAnsiTheme="majorHAnsi"/>
          <w:color w:val="004274"/>
        </w:rPr>
        <w:t xml:space="preserve"> </w:t>
      </w:r>
      <w:r w:rsidRPr="005B6FE2">
        <w:rPr>
          <w:rFonts w:asciiTheme="majorHAnsi" w:hAnsiTheme="majorHAnsi"/>
          <w:bCs/>
          <w:iCs/>
          <w:color w:val="FF0000"/>
        </w:rPr>
        <w:t>får spelaren</w:t>
      </w:r>
      <w:r w:rsidRPr="005B6FE2">
        <w:rPr>
          <w:rFonts w:asciiTheme="majorHAnsi" w:hAnsiTheme="majorHAnsi"/>
          <w:color w:val="004274"/>
        </w:rPr>
        <w:t xml:space="preserve"> </w:t>
      </w:r>
      <w:r w:rsidRPr="005B6FE2">
        <w:rPr>
          <w:rFonts w:asciiTheme="majorHAnsi" w:hAnsiTheme="majorHAnsi"/>
          <w:bCs/>
          <w:iCs/>
          <w:color w:val="FF0000"/>
        </w:rPr>
        <w:t>den allmänna plikten (två slag)</w:t>
      </w:r>
      <w:r w:rsidRPr="005B6FE2">
        <w:rPr>
          <w:rFonts w:asciiTheme="majorHAnsi" w:hAnsiTheme="majorHAnsi"/>
          <w:color w:val="004274"/>
        </w:rPr>
        <w:t>.</w:t>
      </w:r>
    </w:p>
    <w:p w14:paraId="6AEB79D4" w14:textId="77777777" w:rsidR="003466C5" w:rsidRPr="005B6FE2" w:rsidRDefault="003466C5" w:rsidP="004C2CC9">
      <w:pPr>
        <w:rPr>
          <w:rFonts w:asciiTheme="majorHAnsi" w:eastAsia="Times New Roman" w:hAnsiTheme="majorHAnsi" w:cs="Times New Roman"/>
          <w:color w:val="004274"/>
        </w:rPr>
      </w:pPr>
      <w:r w:rsidRPr="005B6FE2">
        <w:rPr>
          <w:rFonts w:asciiTheme="majorHAnsi" w:eastAsia="Times New Roman" w:hAnsiTheme="majorHAnsi" w:cs="Times New Roman"/>
          <w:color w:val="004274"/>
        </w:rPr>
        <w:t xml:space="preserve">Plikten läggs på det sista hålet av spelarens </w:t>
      </w:r>
      <w:r w:rsidRPr="004C2CC9">
        <w:rPr>
          <w:rFonts w:asciiTheme="majorHAnsi" w:eastAsia="Times New Roman" w:hAnsiTheme="majorHAnsi" w:cs="Times New Roman"/>
          <w:i/>
          <w:iCs/>
          <w:color w:val="004274"/>
        </w:rPr>
        <w:t>rond</w:t>
      </w:r>
      <w:r w:rsidRPr="005B6FE2">
        <w:rPr>
          <w:rFonts w:asciiTheme="majorHAnsi" w:eastAsia="Times New Roman" w:hAnsiTheme="majorHAnsi" w:cs="Times New Roman"/>
          <w:color w:val="004274"/>
        </w:rPr>
        <w:t>. 8L-1</w:t>
      </w:r>
    </w:p>
    <w:p w14:paraId="3E7DD459" w14:textId="77777777" w:rsidR="003466C5" w:rsidRPr="00853EEE" w:rsidRDefault="003466C5" w:rsidP="00184F2C">
      <w:pPr>
        <w:spacing w:line="240" w:lineRule="auto"/>
        <w:rPr>
          <w:rFonts w:asciiTheme="majorHAnsi" w:eastAsia="Times New Roman" w:hAnsiTheme="majorHAnsi" w:cs="Times New Roman"/>
          <w:color w:val="004274"/>
          <w:sz w:val="20"/>
          <w:szCs w:val="20"/>
        </w:rPr>
      </w:pPr>
    </w:p>
    <w:p w14:paraId="6688D01B" w14:textId="77777777" w:rsidR="00713480" w:rsidRPr="00853EEE" w:rsidRDefault="00713480" w:rsidP="00713480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34A0B54" w14:textId="6AA15ECB" w:rsidR="00713480" w:rsidRPr="00853EEE" w:rsidRDefault="00713480" w:rsidP="00713480">
      <w:pPr>
        <w:tabs>
          <w:tab w:val="left" w:pos="8748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853EEE">
        <w:rPr>
          <w:rFonts w:asciiTheme="majorHAnsi" w:eastAsia="Times New Roman" w:hAnsiTheme="majorHAnsi" w:cs="Times New Roman"/>
          <w:sz w:val="20"/>
          <w:szCs w:val="20"/>
        </w:rPr>
        <w:tab/>
      </w:r>
    </w:p>
    <w:sectPr w:rsidR="00713480" w:rsidRPr="00853EEE" w:rsidSect="00C56231">
      <w:footerReference w:type="default" r:id="rId9"/>
      <w:pgSz w:w="11906" w:h="16838"/>
      <w:pgMar w:top="142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39E80" w14:textId="77777777" w:rsidR="00C56231" w:rsidRDefault="00C56231" w:rsidP="0002415B">
      <w:pPr>
        <w:spacing w:after="0" w:line="240" w:lineRule="auto"/>
      </w:pPr>
      <w:r>
        <w:separator/>
      </w:r>
    </w:p>
  </w:endnote>
  <w:endnote w:type="continuationSeparator" w:id="0">
    <w:p w14:paraId="6C136B8B" w14:textId="77777777" w:rsidR="00C56231" w:rsidRDefault="00C56231" w:rsidP="0002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272CA" w14:textId="1C766216" w:rsidR="0002415B" w:rsidRDefault="0002415B" w:rsidP="0002415B">
    <w:pPr>
      <w:pStyle w:val="Sidfot"/>
      <w:jc w:val="right"/>
    </w:pPr>
    <w:r>
      <w:rPr>
        <w:rFonts w:asciiTheme="majorHAnsi" w:eastAsia="Times New Roman" w:hAnsiTheme="majorHAnsi" w:cs="Times New Roman"/>
        <w:color w:val="004274"/>
        <w:sz w:val="20"/>
        <w:szCs w:val="20"/>
      </w:rPr>
      <w:t xml:space="preserve">Utfärdade </w:t>
    </w:r>
    <w:r w:rsidRPr="00280E19">
      <w:rPr>
        <w:rFonts w:asciiTheme="majorHAnsi" w:eastAsia="Times New Roman" w:hAnsiTheme="majorHAnsi" w:cs="Times New Roman"/>
        <w:color w:val="004274"/>
        <w:sz w:val="20"/>
        <w:szCs w:val="20"/>
      </w:rPr>
      <w:t xml:space="preserve">den </w:t>
    </w:r>
    <w:r w:rsidR="002E18C2">
      <w:rPr>
        <w:rFonts w:asciiTheme="majorHAnsi" w:eastAsia="Times New Roman" w:hAnsiTheme="majorHAnsi" w:cs="Times New Roman"/>
        <w:color w:val="004274"/>
        <w:sz w:val="20"/>
        <w:szCs w:val="20"/>
      </w:rPr>
      <w:t>26 april</w:t>
    </w:r>
    <w:r>
      <w:rPr>
        <w:rFonts w:asciiTheme="majorHAnsi" w:eastAsia="Times New Roman" w:hAnsiTheme="majorHAnsi" w:cs="Times New Roman"/>
        <w:color w:val="004274"/>
        <w:sz w:val="20"/>
        <w:szCs w:val="20"/>
      </w:rPr>
      <w:t xml:space="preserve"> 202</w:t>
    </w:r>
    <w:r w:rsidR="005B6FE2">
      <w:rPr>
        <w:rFonts w:asciiTheme="majorHAnsi" w:eastAsia="Times New Roman" w:hAnsiTheme="majorHAnsi" w:cs="Times New Roman"/>
        <w:color w:val="004274"/>
        <w:sz w:val="20"/>
        <w:szCs w:val="20"/>
      </w:rPr>
      <w:t>4</w:t>
    </w:r>
    <w:r>
      <w:rPr>
        <w:rFonts w:asciiTheme="majorHAnsi" w:eastAsia="Times New Roman" w:hAnsiTheme="majorHAnsi" w:cs="Times New Roman"/>
        <w:color w:val="004274"/>
        <w:sz w:val="20"/>
        <w:szCs w:val="20"/>
      </w:rPr>
      <w:t xml:space="preserve"> av Tomelilla Golf</w:t>
    </w:r>
    <w:r w:rsidR="00713480">
      <w:rPr>
        <w:rFonts w:asciiTheme="majorHAnsi" w:eastAsia="Times New Roman" w:hAnsiTheme="majorHAnsi" w:cs="Times New Roman"/>
        <w:color w:val="004274"/>
        <w:sz w:val="20"/>
        <w:szCs w:val="20"/>
      </w:rPr>
      <w:t>klubb och Tomelilla Golf AB</w:t>
    </w:r>
  </w:p>
  <w:p w14:paraId="119A7272" w14:textId="77777777" w:rsidR="0002415B" w:rsidRDefault="000241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15063" w14:textId="77777777" w:rsidR="00C56231" w:rsidRDefault="00C56231" w:rsidP="0002415B">
      <w:pPr>
        <w:spacing w:after="0" w:line="240" w:lineRule="auto"/>
      </w:pPr>
      <w:r>
        <w:separator/>
      </w:r>
    </w:p>
  </w:footnote>
  <w:footnote w:type="continuationSeparator" w:id="0">
    <w:p w14:paraId="4815C6D5" w14:textId="77777777" w:rsidR="00C56231" w:rsidRDefault="00C56231" w:rsidP="0002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C36E6"/>
    <w:multiLevelType w:val="hybridMultilevel"/>
    <w:tmpl w:val="8DE62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A"/>
    <w:rsid w:val="0002415B"/>
    <w:rsid w:val="00031F14"/>
    <w:rsid w:val="00042412"/>
    <w:rsid w:val="00094CD6"/>
    <w:rsid w:val="000D6541"/>
    <w:rsid w:val="000E339A"/>
    <w:rsid w:val="001229B7"/>
    <w:rsid w:val="00135D70"/>
    <w:rsid w:val="00184F2C"/>
    <w:rsid w:val="001A145A"/>
    <w:rsid w:val="001A6EF3"/>
    <w:rsid w:val="001B6703"/>
    <w:rsid w:val="001D550E"/>
    <w:rsid w:val="001F5092"/>
    <w:rsid w:val="00222037"/>
    <w:rsid w:val="00280E19"/>
    <w:rsid w:val="0029393E"/>
    <w:rsid w:val="002A68E2"/>
    <w:rsid w:val="002E18C2"/>
    <w:rsid w:val="0030579D"/>
    <w:rsid w:val="00313497"/>
    <w:rsid w:val="003466C5"/>
    <w:rsid w:val="00410867"/>
    <w:rsid w:val="00443635"/>
    <w:rsid w:val="00483820"/>
    <w:rsid w:val="00491C3E"/>
    <w:rsid w:val="00494874"/>
    <w:rsid w:val="004B2E12"/>
    <w:rsid w:val="004C2CC9"/>
    <w:rsid w:val="00532EE0"/>
    <w:rsid w:val="005370B6"/>
    <w:rsid w:val="00596CD9"/>
    <w:rsid w:val="005B2532"/>
    <w:rsid w:val="005B2F21"/>
    <w:rsid w:val="005B6FE2"/>
    <w:rsid w:val="005C5148"/>
    <w:rsid w:val="005E42F3"/>
    <w:rsid w:val="005E7952"/>
    <w:rsid w:val="0060619E"/>
    <w:rsid w:val="0061409E"/>
    <w:rsid w:val="00636654"/>
    <w:rsid w:val="00674724"/>
    <w:rsid w:val="00684329"/>
    <w:rsid w:val="006869C1"/>
    <w:rsid w:val="00713480"/>
    <w:rsid w:val="00727EB8"/>
    <w:rsid w:val="00747A98"/>
    <w:rsid w:val="0077329E"/>
    <w:rsid w:val="007A341B"/>
    <w:rsid w:val="007C085A"/>
    <w:rsid w:val="007C33B2"/>
    <w:rsid w:val="007E6AC7"/>
    <w:rsid w:val="008153EB"/>
    <w:rsid w:val="00832160"/>
    <w:rsid w:val="00853EEE"/>
    <w:rsid w:val="008B2D1C"/>
    <w:rsid w:val="008D30A8"/>
    <w:rsid w:val="008F53DF"/>
    <w:rsid w:val="009074A4"/>
    <w:rsid w:val="00960697"/>
    <w:rsid w:val="009E07CB"/>
    <w:rsid w:val="009E5497"/>
    <w:rsid w:val="00A17B8C"/>
    <w:rsid w:val="00AB54DA"/>
    <w:rsid w:val="00B01C27"/>
    <w:rsid w:val="00B13009"/>
    <w:rsid w:val="00B36644"/>
    <w:rsid w:val="00B72D70"/>
    <w:rsid w:val="00BA3C37"/>
    <w:rsid w:val="00C11407"/>
    <w:rsid w:val="00C56231"/>
    <w:rsid w:val="00C66A01"/>
    <w:rsid w:val="00C74C07"/>
    <w:rsid w:val="00C94E4A"/>
    <w:rsid w:val="00CE4801"/>
    <w:rsid w:val="00CF444A"/>
    <w:rsid w:val="00D53E8C"/>
    <w:rsid w:val="00D73389"/>
    <w:rsid w:val="00D84695"/>
    <w:rsid w:val="00DF407B"/>
    <w:rsid w:val="00E376FB"/>
    <w:rsid w:val="00E47D05"/>
    <w:rsid w:val="00E519D4"/>
    <w:rsid w:val="00E713FA"/>
    <w:rsid w:val="00EA37FF"/>
    <w:rsid w:val="00ED202F"/>
    <w:rsid w:val="00F10E6E"/>
    <w:rsid w:val="00F1596F"/>
    <w:rsid w:val="00F259AE"/>
    <w:rsid w:val="00FB2682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64ED"/>
  <w15:docId w15:val="{E29FAB60-3227-424F-8182-884441D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E3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85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C085A"/>
    <w:rPr>
      <w:b/>
      <w:bCs/>
    </w:rPr>
  </w:style>
  <w:style w:type="paragraph" w:styleId="Liststycke">
    <w:name w:val="List Paragraph"/>
    <w:basedOn w:val="Normal"/>
    <w:uiPriority w:val="34"/>
    <w:qFormat/>
    <w:rsid w:val="00E519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415B"/>
  </w:style>
  <w:style w:type="paragraph" w:styleId="Sidfot">
    <w:name w:val="footer"/>
    <w:basedOn w:val="Normal"/>
    <w:link w:val="SidfotChar"/>
    <w:uiPriority w:val="99"/>
    <w:unhideWhenUsed/>
    <w:rsid w:val="0002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415B"/>
  </w:style>
  <w:style w:type="paragraph" w:styleId="Normalwebb">
    <w:name w:val="Normal (Web)"/>
    <w:basedOn w:val="Normal"/>
    <w:uiPriority w:val="99"/>
    <w:unhideWhenUsed/>
    <w:rsid w:val="0034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E33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0E3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5B14-F474-44BF-AE9E-FD114A0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Golf AB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Nilsson</dc:creator>
  <cp:lastModifiedBy>Miiz Nilsson</cp:lastModifiedBy>
  <cp:revision>6</cp:revision>
  <cp:lastPrinted>2023-05-22T10:23:00Z</cp:lastPrinted>
  <dcterms:created xsi:type="dcterms:W3CDTF">2024-04-24T11:43:00Z</dcterms:created>
  <dcterms:modified xsi:type="dcterms:W3CDTF">2024-04-26T07:11:00Z</dcterms:modified>
</cp:coreProperties>
</file>